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A5" w:rsidRDefault="00502467">
      <w:pPr>
        <w:spacing w:after="0"/>
        <w:ind w:left="-838" w:hanging="10"/>
      </w:pPr>
      <w:r>
        <w:rPr>
          <w:rFonts w:ascii="Arial" w:eastAsia="Arial" w:hAnsi="Arial" w:cs="Arial"/>
          <w:b/>
          <w:sz w:val="28"/>
        </w:rPr>
        <w:t>Activity Details</w:t>
      </w:r>
    </w:p>
    <w:tbl>
      <w:tblPr>
        <w:tblStyle w:val="TableGrid"/>
        <w:tblW w:w="10768" w:type="dxa"/>
        <w:tblInd w:w="-871" w:type="dxa"/>
        <w:tblCellMar>
          <w:top w:w="61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38"/>
        <w:gridCol w:w="3252"/>
        <w:gridCol w:w="1661"/>
        <w:gridCol w:w="2676"/>
        <w:gridCol w:w="1041"/>
      </w:tblGrid>
      <w:tr w:rsidR="00BF6FA5">
        <w:trPr>
          <w:trHeight w:val="340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BF6FA5" w:rsidRDefault="005024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CARA Creation Date: 18-Mar-2019</w:t>
            </w:r>
          </w:p>
        </w:tc>
      </w:tr>
      <w:tr w:rsidR="00BF6FA5">
        <w:trPr>
          <w:trHeight w:val="430"/>
        </w:trPr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Activity: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8"/>
              </w:rPr>
              <w:t>Volleyball</w:t>
            </w:r>
          </w:p>
        </w:tc>
      </w:tr>
      <w:tr w:rsidR="00BF6FA5">
        <w:trPr>
          <w:trHeight w:val="927"/>
        </w:trPr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Activity Scope: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This guideline relates to student participation in volleyball or beach volleyball as a curriculum activity, including skills development, training and competitions. </w:t>
            </w:r>
          </w:p>
        </w:tc>
      </w:tr>
      <w:tr w:rsidR="00BF6FA5">
        <w:trPr>
          <w:trHeight w:val="340"/>
        </w:trPr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Guidelines: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1"/>
            </w:pPr>
            <w:hyperlink r:id="rId7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https://education.qld.gov.au/curriculum/school-curriculum/CARA/activity-guidelines </w:t>
              </w:r>
            </w:hyperlink>
          </w:p>
        </w:tc>
      </w:tr>
      <w:tr w:rsidR="00BF6FA5">
        <w:trPr>
          <w:trHeight w:val="340"/>
        </w:trPr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Activity Description: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Bundaberg District trials  </w:t>
            </w:r>
          </w:p>
        </w:tc>
      </w:tr>
      <w:tr w:rsidR="00BF6FA5">
        <w:trPr>
          <w:trHeight w:val="340"/>
        </w:trPr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Inhere</w:t>
            </w:r>
            <w:r>
              <w:rPr>
                <w:rFonts w:ascii="Arial" w:eastAsia="Arial" w:hAnsi="Arial" w:cs="Arial"/>
                <w:sz w:val="20"/>
              </w:rPr>
              <w:t>nt Risk Level: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Medium</w:t>
            </w:r>
          </w:p>
        </w:tc>
      </w:tr>
      <w:tr w:rsidR="00BF6FA5">
        <w:trPr>
          <w:trHeight w:val="526"/>
        </w:trPr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Inherent Risk Level Description: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Teaching of volleyball or beach volleyball skills, training and competitions.</w:t>
            </w:r>
          </w:p>
        </w:tc>
      </w:tr>
      <w:tr w:rsidR="00BF6FA5">
        <w:trPr>
          <w:trHeight w:val="340"/>
        </w:trPr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Start Date: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Monday, 25 March, 2019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End Date: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Monday, 25 March, 2019</w:t>
            </w:r>
          </w:p>
        </w:tc>
      </w:tr>
      <w:tr w:rsidR="00BF6FA5">
        <w:trPr>
          <w:trHeight w:val="970"/>
        </w:trPr>
        <w:tc>
          <w:tcPr>
            <w:tcW w:w="21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On School Grounds: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Yes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Is parental permission required for this activity?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No</w:t>
            </w:r>
          </w:p>
        </w:tc>
      </w:tr>
      <w:tr w:rsidR="00BF6FA5">
        <w:trPr>
          <w:trHeight w:val="348"/>
        </w:trPr>
        <w:tc>
          <w:tcPr>
            <w:tcW w:w="972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Mandatory/Special Requirements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BF6FA5" w:rsidRDefault="00BF6FA5"/>
        </w:tc>
      </w:tr>
      <w:tr w:rsidR="00BF6FA5">
        <w:trPr>
          <w:trHeight w:val="526"/>
        </w:trPr>
        <w:tc>
          <w:tcPr>
            <w:tcW w:w="972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Modified versions of volleyball (e.g. Spikezone) may include additional and/or alternate risks and equipment that should be considered in planning this activity.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BF6FA5"/>
        </w:tc>
      </w:tr>
      <w:tr w:rsidR="00BF6FA5">
        <w:trPr>
          <w:trHeight w:val="373"/>
        </w:trPr>
        <w:tc>
          <w:tcPr>
            <w:tcW w:w="972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I have incorporated the above factors when planning my risk management strategies for this activity.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</w:tbl>
    <w:p w:rsidR="00BF6FA5" w:rsidRDefault="00502467">
      <w:pPr>
        <w:spacing w:after="0"/>
        <w:ind w:left="-838" w:hanging="10"/>
      </w:pPr>
      <w:r>
        <w:rPr>
          <w:rFonts w:ascii="Arial" w:eastAsia="Arial" w:hAnsi="Arial" w:cs="Arial"/>
          <w:b/>
          <w:sz w:val="28"/>
        </w:rPr>
        <w:t>Risk Management Details</w:t>
      </w:r>
    </w:p>
    <w:tbl>
      <w:tblPr>
        <w:tblStyle w:val="TableGrid"/>
        <w:tblW w:w="10768" w:type="dxa"/>
        <w:tblInd w:w="-871" w:type="dxa"/>
        <w:tblCellMar>
          <w:top w:w="60" w:type="dxa"/>
          <w:left w:w="38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9728"/>
        <w:gridCol w:w="1040"/>
      </w:tblGrid>
      <w:tr w:rsidR="00BF6FA5">
        <w:trPr>
          <w:trHeight w:val="348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Supervision Requirements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BF6FA5" w:rsidRDefault="00BF6FA5"/>
        </w:tc>
      </w:tr>
      <w:tr w:rsidR="00BF6FA5">
        <w:trPr>
          <w:trHeight w:val="375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Supervise net play closely at all times.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348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Qualification Requirements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BF6FA5" w:rsidRDefault="00BF6FA5"/>
        </w:tc>
      </w:tr>
      <w:tr w:rsidR="00BF6FA5">
        <w:trPr>
          <w:trHeight w:val="704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A5" w:rsidRDefault="0050246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 registered teacher with competence (knowledge and skills) in the teaching of volleyball or beach volleyball.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</w:p>
        </w:tc>
      </w:tr>
      <w:tr w:rsidR="00BF6FA5">
        <w:trPr>
          <w:trHeight w:val="340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OR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BF6FA5"/>
        </w:tc>
      </w:tr>
      <w:tr w:rsidR="00BF6FA5">
        <w:trPr>
          <w:trHeight w:val="924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 registered teacher or other activity leader with </w:t>
            </w:r>
            <w:hyperlink r:id="rId8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Level 1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coaching accreditation from Volleyball Australia. This course may be undertaken through the </w:t>
            </w: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Get Active Queensland Accreditation Program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</w:tbl>
    <w:p w:rsidR="00BF6FA5" w:rsidRDefault="00BF6FA5">
      <w:pPr>
        <w:spacing w:after="0"/>
        <w:ind w:left="-1440" w:right="10466"/>
      </w:pPr>
    </w:p>
    <w:tbl>
      <w:tblPr>
        <w:tblStyle w:val="TableGrid"/>
        <w:tblW w:w="10768" w:type="dxa"/>
        <w:tblInd w:w="-871" w:type="dxa"/>
        <w:tblCellMar>
          <w:top w:w="60" w:type="dxa"/>
          <w:left w:w="3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728"/>
        <w:gridCol w:w="1040"/>
      </w:tblGrid>
      <w:tr w:rsidR="00BF6FA5">
        <w:trPr>
          <w:trHeight w:val="348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Equipment/Facility Requirements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BF6FA5" w:rsidRDefault="00BF6FA5"/>
        </w:tc>
      </w:tr>
      <w:tr w:rsidR="00BF6FA5">
        <w:trPr>
          <w:trHeight w:val="704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 clearly defined playing area (including boundary clearances).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704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Padding on posts and referee stands.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704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Facilities and equipment that adhere, as close as practicable, to </w:t>
            </w:r>
            <w:hyperlink r:id="rId10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Volleyball Queensland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regulations.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704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For indoor facilities, adequate lighting (with lights protected) and ventilation.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704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Footwe</w:t>
            </w:r>
            <w:r>
              <w:rPr>
                <w:rFonts w:ascii="Arial" w:eastAsia="Arial" w:hAnsi="Arial" w:cs="Arial"/>
                <w:sz w:val="20"/>
              </w:rPr>
              <w:t xml:space="preserve">ar appropriate to the playing surface, type of activity (i.e. training or match) and age of participants.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340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Students to be instructed on court boundaries and safety due to limited boundary clearance in BSHS venue.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</w:tcPr>
          <w:p w:rsidR="00BF6FA5" w:rsidRDefault="00BF6FA5"/>
        </w:tc>
      </w:tr>
      <w:tr w:rsidR="00BF6FA5">
        <w:trPr>
          <w:trHeight w:val="348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Hazards and Control Measures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BF6FA5" w:rsidRDefault="00BF6FA5"/>
        </w:tc>
      </w:tr>
      <w:tr w:rsidR="00BF6FA5">
        <w:trPr>
          <w:trHeight w:val="340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Environmental conditions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BF6FA5"/>
        </w:tc>
      </w:tr>
      <w:tr w:rsidR="00BF6FA5">
        <w:trPr>
          <w:trHeight w:val="526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Clearly define the playing and clearance areas prior to play commencing (recommended clearance of 3m surrounding the playing area).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2118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FA5" w:rsidRDefault="00502467">
            <w:pPr>
              <w:spacing w:after="220" w:line="233" w:lineRule="auto"/>
            </w:pPr>
            <w:r>
              <w:rPr>
                <w:rFonts w:ascii="Arial" w:eastAsia="Arial" w:hAnsi="Arial" w:cs="Arial"/>
                <w:sz w:val="20"/>
              </w:rPr>
              <w:t>If the recommended boundary clearance is not met, provide instructions to the officials/supervisors and players about the limited clearance zone and the steps they could take to ensure safety, including the following:</w:t>
            </w:r>
          </w:p>
          <w:p w:rsidR="00BF6FA5" w:rsidRDefault="00502467">
            <w:pPr>
              <w:numPr>
                <w:ilvl w:val="0"/>
                <w:numId w:val="1"/>
              </w:numPr>
              <w:spacing w:after="32"/>
            </w:pPr>
            <w:r>
              <w:rPr>
                <w:rFonts w:ascii="Arial" w:eastAsia="Arial" w:hAnsi="Arial" w:cs="Arial"/>
                <w:sz w:val="20"/>
              </w:rPr>
              <w:t>reduce the size of the playing field t</w:t>
            </w:r>
            <w:r>
              <w:rPr>
                <w:rFonts w:ascii="Arial" w:eastAsia="Arial" w:hAnsi="Arial" w:cs="Arial"/>
                <w:sz w:val="20"/>
              </w:rPr>
              <w:t>o achieve an adequate clearance zone</w:t>
            </w:r>
          </w:p>
          <w:p w:rsidR="00BF6FA5" w:rsidRDefault="00502467">
            <w:pPr>
              <w:numPr>
                <w:ilvl w:val="0"/>
                <w:numId w:val="1"/>
              </w:numPr>
              <w:spacing w:after="0" w:line="292" w:lineRule="auto"/>
            </w:pPr>
            <w:r>
              <w:rPr>
                <w:rFonts w:ascii="Arial" w:eastAsia="Arial" w:hAnsi="Arial" w:cs="Arial"/>
                <w:sz w:val="20"/>
              </w:rPr>
              <w:t xml:space="preserve">remove spectators/dangerous obstacles within the clearance zone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</w:rPr>
              <w:t>station supervisors near any obstacles within the clearance zone</w:t>
            </w:r>
          </w:p>
          <w:p w:rsidR="00BF6FA5" w:rsidRDefault="00502467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>pad any obstacles located within the clearance zone.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375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Position referee stands and chairs for lines people with regard to player safety.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1652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FA5" w:rsidRDefault="00502467">
            <w:pPr>
              <w:spacing w:after="195"/>
            </w:pPr>
            <w:r>
              <w:rPr>
                <w:rFonts w:ascii="Arial" w:eastAsia="Arial" w:hAnsi="Arial" w:cs="Arial"/>
                <w:sz w:val="20"/>
              </w:rPr>
              <w:t>For beach volleyball:</w:t>
            </w:r>
          </w:p>
          <w:p w:rsidR="00BF6FA5" w:rsidRDefault="00502467">
            <w:pPr>
              <w:numPr>
                <w:ilvl w:val="0"/>
                <w:numId w:val="2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0"/>
              </w:rPr>
              <w:t>cover the base of portable posts with sand and rake sand before use</w:t>
            </w:r>
          </w:p>
          <w:p w:rsidR="00BF6FA5" w:rsidRDefault="00502467">
            <w:pPr>
              <w:numPr>
                <w:ilvl w:val="0"/>
                <w:numId w:val="2"/>
              </w:numPr>
              <w:spacing w:after="0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ensure lines are of flexible, non-injurious material (i.e. cords or webbing). Wood, metal or other solid material should not be used</w:t>
            </w:r>
          </w:p>
          <w:p w:rsidR="00BF6FA5" w:rsidRDefault="00502467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>ensure sand depth is at least 30cm and extends beyond the court by at least 2m.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</w:p>
        </w:tc>
      </w:tr>
      <w:tr w:rsidR="00BF6FA5">
        <w:trPr>
          <w:trHeight w:val="704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Ensure indoor court surfaces are non-slip.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340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Equipment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BF6FA5"/>
        </w:tc>
      </w:tr>
      <w:tr w:rsidR="00BF6FA5">
        <w:trPr>
          <w:trHeight w:val="526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Check equipment (including net posts) for any damage before play commences, and remove from use if necessary.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526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If using a ratchet winch net system, ensure care is taken when adjusting/releasing the high tension system. Refer to Creating </w:t>
            </w:r>
            <w:hyperlink r:id="rId11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Healthier</w:t>
              </w:r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 xml:space="preserve"> Workplaces Hazard Alerts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for further information.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526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Avoid the use of guy wires to support posts wherever possible. If used, they should be visible to players and covered with protective pads.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>
        <w:trPr>
          <w:trHeight w:val="373"/>
        </w:trPr>
        <w:tc>
          <w:tcPr>
            <w:tcW w:w="97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Ensure winch handles on posts are removed or padded if non-removeable.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8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</w:tbl>
    <w:p w:rsidR="00BF6FA5" w:rsidRDefault="00BF6FA5">
      <w:pPr>
        <w:spacing w:after="0"/>
        <w:ind w:left="-1440" w:right="10466"/>
      </w:pPr>
    </w:p>
    <w:tbl>
      <w:tblPr>
        <w:tblStyle w:val="TableGrid"/>
        <w:tblW w:w="10767" w:type="dxa"/>
        <w:tblInd w:w="-871" w:type="dxa"/>
        <w:tblCellMar>
          <w:top w:w="58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0"/>
        <w:gridCol w:w="2197"/>
        <w:gridCol w:w="3085"/>
        <w:gridCol w:w="2055"/>
        <w:gridCol w:w="1040"/>
      </w:tblGrid>
      <w:tr w:rsidR="00BF6FA5">
        <w:trPr>
          <w:trHeight w:val="1911"/>
        </w:trPr>
        <w:tc>
          <w:tcPr>
            <w:tcW w:w="972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6FA5" w:rsidRDefault="00502467">
            <w:pPr>
              <w:spacing w:after="196"/>
            </w:pPr>
            <w:r>
              <w:rPr>
                <w:rFonts w:ascii="Arial" w:eastAsia="Arial" w:hAnsi="Arial" w:cs="Arial"/>
                <w:sz w:val="20"/>
              </w:rPr>
              <w:lastRenderedPageBreak/>
              <w:t>For modified games (ages 8–11) use:</w:t>
            </w:r>
          </w:p>
          <w:p w:rsidR="00BF6FA5" w:rsidRDefault="00502467">
            <w:pPr>
              <w:numPr>
                <w:ilvl w:val="0"/>
                <w:numId w:val="3"/>
              </w:numPr>
              <w:spacing w:after="33"/>
            </w:pPr>
            <w:r>
              <w:rPr>
                <w:rFonts w:ascii="Arial" w:eastAsia="Arial" w:hAnsi="Arial" w:cs="Arial"/>
                <w:sz w:val="20"/>
              </w:rPr>
              <w:t>a smaller sized court (13m x 6.5m)</w:t>
            </w:r>
          </w:p>
          <w:p w:rsidR="00BF6FA5" w:rsidRDefault="00502467">
            <w:pPr>
              <w:numPr>
                <w:ilvl w:val="0"/>
                <w:numId w:val="3"/>
              </w:numPr>
              <w:spacing w:after="32"/>
            </w:pPr>
            <w:r>
              <w:rPr>
                <w:rFonts w:ascii="Arial" w:eastAsia="Arial" w:hAnsi="Arial" w:cs="Arial"/>
                <w:sz w:val="20"/>
              </w:rPr>
              <w:t>a lower net height</w:t>
            </w:r>
          </w:p>
          <w:p w:rsidR="00BF6FA5" w:rsidRDefault="00502467">
            <w:pPr>
              <w:numPr>
                <w:ilvl w:val="0"/>
                <w:numId w:val="3"/>
              </w:numPr>
              <w:spacing w:after="1" w:line="292" w:lineRule="auto"/>
            </w:pPr>
            <w:r>
              <w:rPr>
                <w:rFonts w:ascii="Arial" w:eastAsia="Arial" w:hAnsi="Arial" w:cs="Arial"/>
                <w:sz w:val="20"/>
              </w:rPr>
              <w:t xml:space="preserve">a softer and lighter ball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• </w:t>
            </w:r>
            <w:r>
              <w:rPr>
                <w:rFonts w:ascii="Arial" w:eastAsia="Arial" w:hAnsi="Arial" w:cs="Arial"/>
                <w:sz w:val="20"/>
              </w:rPr>
              <w:t>less players on the court</w:t>
            </w:r>
          </w:p>
          <w:p w:rsidR="00BF6FA5" w:rsidRDefault="00502467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eastAsia="Arial" w:hAnsi="Arial" w:cs="Arial"/>
                <w:sz w:val="20"/>
              </w:rPr>
              <w:t>modified rules.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9"/>
            </w:pPr>
            <w:r>
              <w:rPr>
                <w:rFonts w:ascii="Wingdings 2" w:eastAsia="Wingdings 2" w:hAnsi="Wingdings 2" w:cs="Wingdings 2"/>
                <w:sz w:val="28"/>
              </w:rPr>
              <w:t></w:t>
            </w:r>
          </w:p>
        </w:tc>
      </w:tr>
      <w:tr w:rsidR="00BF6FA5">
        <w:trPr>
          <w:trHeight w:val="340"/>
        </w:trPr>
        <w:tc>
          <w:tcPr>
            <w:tcW w:w="9727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Student considerations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BF6FA5"/>
        </w:tc>
      </w:tr>
      <w:tr w:rsidR="00BF6FA5">
        <w:trPr>
          <w:trHeight w:val="524"/>
        </w:trPr>
        <w:tc>
          <w:tcPr>
            <w:tcW w:w="972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Adopt procedures to minimise loose balls entering playing and warm-up areas, and establish safe procedures for their removal.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359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</w:p>
        </w:tc>
      </w:tr>
      <w:tr w:rsidR="00BF6FA5" w:rsidTr="00502467">
        <w:trPr>
          <w:trHeight w:val="348"/>
        </w:trPr>
        <w:tc>
          <w:tcPr>
            <w:tcW w:w="458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Staff/Other Participants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BF6FA5" w:rsidRDefault="00BF6FA5"/>
        </w:tc>
        <w:tc>
          <w:tcPr>
            <w:tcW w:w="3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BF6FA5" w:rsidRDefault="00BF6FA5"/>
        </w:tc>
      </w:tr>
      <w:tr w:rsidR="00BF6FA5" w:rsidTr="00502467">
        <w:trPr>
          <w:trHeight w:val="340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Family Name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Given Name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F6FA5" w:rsidRDefault="00502467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Type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Other Participants Role</w:t>
            </w:r>
          </w:p>
        </w:tc>
      </w:tr>
      <w:tr w:rsidR="00BF6FA5" w:rsidTr="00502467">
        <w:trPr>
          <w:trHeight w:val="338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Steinberger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Lincoln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6FA5" w:rsidRDefault="00502467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Staff Member</w:t>
            </w: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N/A</w:t>
            </w:r>
          </w:p>
        </w:tc>
      </w:tr>
    </w:tbl>
    <w:p w:rsidR="00502467" w:rsidRDefault="00502467"/>
    <w:tbl>
      <w:tblPr>
        <w:tblStyle w:val="TableGrid"/>
        <w:tblW w:w="10767" w:type="dxa"/>
        <w:tblInd w:w="-871" w:type="dxa"/>
        <w:tblCellMar>
          <w:top w:w="58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91"/>
        <w:gridCol w:w="2197"/>
        <w:gridCol w:w="3084"/>
        <w:gridCol w:w="3095"/>
      </w:tblGrid>
      <w:tr w:rsidR="00502467" w:rsidTr="00502467">
        <w:trPr>
          <w:trHeight w:val="348"/>
        </w:trPr>
        <w:tc>
          <w:tcPr>
            <w:tcW w:w="458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3D3D3"/>
          </w:tcPr>
          <w:p w:rsidR="00502467" w:rsidRDefault="00502467" w:rsidP="004204E0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Approval</w:t>
            </w:r>
          </w:p>
        </w:tc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3D3"/>
          </w:tcPr>
          <w:p w:rsidR="00502467" w:rsidRDefault="00502467" w:rsidP="004204E0"/>
        </w:tc>
        <w:tc>
          <w:tcPr>
            <w:tcW w:w="3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502467" w:rsidRDefault="00502467" w:rsidP="004204E0"/>
        </w:tc>
      </w:tr>
      <w:tr w:rsidR="00502467" w:rsidTr="00502467">
        <w:trPr>
          <w:trHeight w:val="340"/>
        </w:trPr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02467" w:rsidRDefault="00502467" w:rsidP="004204E0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Name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02467" w:rsidRDefault="00502467" w:rsidP="004204E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Position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02467" w:rsidRDefault="00502467" w:rsidP="004204E0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Signature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3D3D3"/>
          </w:tcPr>
          <w:p w:rsidR="00502467" w:rsidRDefault="00502467" w:rsidP="004204E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>Date</w:t>
            </w:r>
          </w:p>
        </w:tc>
      </w:tr>
      <w:tr w:rsidR="00502467" w:rsidTr="00502467">
        <w:trPr>
          <w:trHeight w:val="338"/>
        </w:trPr>
        <w:tc>
          <w:tcPr>
            <w:tcW w:w="2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02467" w:rsidRDefault="00502467" w:rsidP="004204E0">
            <w:pPr>
              <w:spacing w:after="0"/>
            </w:pPr>
          </w:p>
          <w:p w:rsidR="00502467" w:rsidRDefault="00502467" w:rsidP="004204E0">
            <w:pPr>
              <w:spacing w:after="0"/>
            </w:pPr>
            <w:r>
              <w:t>Karen McCord</w:t>
            </w:r>
          </w:p>
          <w:p w:rsidR="00502467" w:rsidRDefault="00502467" w:rsidP="004204E0">
            <w:pPr>
              <w:spacing w:after="0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2467" w:rsidRDefault="00502467" w:rsidP="004204E0">
            <w:pPr>
              <w:spacing w:after="0"/>
              <w:ind w:left="1"/>
            </w:pPr>
          </w:p>
          <w:p w:rsidR="00502467" w:rsidRDefault="00502467" w:rsidP="00502467">
            <w:pPr>
              <w:spacing w:after="0"/>
            </w:pPr>
            <w:r>
              <w:t>Principal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2467" w:rsidRDefault="00502467" w:rsidP="004204E0">
            <w:pPr>
              <w:spacing w:after="0"/>
              <w:ind w:left="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22225</wp:posOffset>
                  </wp:positionV>
                  <wp:extent cx="1103630" cy="490855"/>
                  <wp:effectExtent l="0" t="0" r="1270" b="4445"/>
                  <wp:wrapNone/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63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02467" w:rsidRDefault="00502467" w:rsidP="004204E0">
            <w:pPr>
              <w:spacing w:after="0"/>
              <w:ind w:left="1"/>
            </w:pPr>
          </w:p>
          <w:p w:rsidR="00502467" w:rsidRDefault="00502467" w:rsidP="004204E0">
            <w:pPr>
              <w:spacing w:after="0"/>
              <w:ind w:left="1"/>
            </w:pPr>
            <w:r>
              <w:t>27/03/2019</w:t>
            </w:r>
          </w:p>
        </w:tc>
      </w:tr>
    </w:tbl>
    <w:p w:rsidR="00BF6FA5" w:rsidRDefault="00502467">
      <w:r>
        <w:br w:type="page"/>
      </w:r>
      <w:bookmarkStart w:id="0" w:name="_GoBack"/>
      <w:bookmarkEnd w:id="0"/>
    </w:p>
    <w:p w:rsidR="00BF6FA5" w:rsidRDefault="00502467">
      <w:pPr>
        <w:spacing w:after="0"/>
        <w:ind w:left="-833"/>
      </w:pPr>
      <w:r>
        <w:rPr>
          <w:rFonts w:ascii="Arial" w:eastAsia="Arial" w:hAnsi="Arial" w:cs="Arial"/>
          <w:b/>
          <w:sz w:val="24"/>
        </w:rPr>
        <w:lastRenderedPageBreak/>
        <w:t>Planning Considerations</w:t>
      </w:r>
    </w:p>
    <w:tbl>
      <w:tblPr>
        <w:tblStyle w:val="TableGrid"/>
        <w:tblW w:w="10767" w:type="dxa"/>
        <w:tblInd w:w="-871" w:type="dxa"/>
        <w:tblCellMar>
          <w:top w:w="77" w:type="dxa"/>
          <w:left w:w="38" w:type="dxa"/>
          <w:bottom w:w="40" w:type="dxa"/>
          <w:right w:w="2" w:type="dxa"/>
        </w:tblCellMar>
        <w:tblLook w:val="04A0" w:firstRow="1" w:lastRow="0" w:firstColumn="1" w:lastColumn="0" w:noHBand="0" w:noVBand="1"/>
      </w:tblPr>
      <w:tblGrid>
        <w:gridCol w:w="10767"/>
      </w:tblGrid>
      <w:tr w:rsidR="00BF6FA5">
        <w:trPr>
          <w:trHeight w:val="11645"/>
        </w:trPr>
        <w:tc>
          <w:tcPr>
            <w:tcW w:w="10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BF6FA5" w:rsidRDefault="00502467">
            <w:pPr>
              <w:spacing w:after="195"/>
            </w:pPr>
            <w:r>
              <w:rPr>
                <w:rFonts w:ascii="Arial" w:eastAsia="Arial" w:hAnsi="Arial" w:cs="Arial"/>
                <w:b/>
                <w:sz w:val="20"/>
              </w:rPr>
              <w:t>Which students will be involved?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0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Consider the number of students, size of student groups and students' capabilities e.g. age, experience, competence, fitness, maturity.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163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Consider any individual student needs e.g. personalised learning, support provisions (including behaviour support plans), health management (including health plans and prescribed medication requirements).</w:t>
            </w:r>
          </w:p>
          <w:p w:rsidR="00BF6FA5" w:rsidRDefault="00502467">
            <w:pPr>
              <w:spacing w:after="195"/>
            </w:pPr>
            <w:r>
              <w:rPr>
                <w:rFonts w:ascii="Arial" w:eastAsia="Arial" w:hAnsi="Arial" w:cs="Arial"/>
                <w:b/>
                <w:sz w:val="20"/>
              </w:rPr>
              <w:t>Where will the students be?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0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Consider the location of the activity e.g. remote/easily accessible, public /private, school/classroom/workshop/other.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0"/>
              </w:rPr>
              <w:t>Is the number of students appropriate for the available space?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1" w:line="25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If outdoors – sunsafe strategies are implemented; weather and environmenta</w:t>
            </w:r>
            <w:r>
              <w:rPr>
                <w:rFonts w:ascii="Arial" w:eastAsia="Arial" w:hAnsi="Arial" w:cs="Arial"/>
                <w:sz w:val="20"/>
              </w:rPr>
              <w:t xml:space="preserve">l conditions are assessed before and during activity (e.g. temperature, storms, water currents, tides); and strategies to reduce the likelihood of viruses, allergies and skin infections caused by insects (e.g. ticks, mosquitoes, spiders) and other animals </w:t>
            </w:r>
            <w:r>
              <w:rPr>
                <w:rFonts w:ascii="Arial" w:eastAsia="Arial" w:hAnsi="Arial" w:cs="Arial"/>
                <w:sz w:val="20"/>
              </w:rPr>
              <w:t>are applied.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0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The site is checked for hazards (e.g. poisonous plants, dangerous animals, uneven terrain, barbed wire,) and necessary controls implemented.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163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Activities are appropriately situated in relation to buildings, pedestrians, members of the public, ve</w:t>
            </w:r>
            <w:r>
              <w:rPr>
                <w:rFonts w:ascii="Arial" w:eastAsia="Arial" w:hAnsi="Arial" w:cs="Arial"/>
                <w:sz w:val="20"/>
              </w:rPr>
              <w:t>hicles and other activities e.g. designated areas for activity, spectators and vehicles are established.</w:t>
            </w:r>
          </w:p>
          <w:p w:rsidR="00BF6FA5" w:rsidRDefault="00502467">
            <w:pPr>
              <w:spacing w:after="195"/>
            </w:pPr>
            <w:r>
              <w:rPr>
                <w:rFonts w:ascii="Arial" w:eastAsia="Arial" w:hAnsi="Arial" w:cs="Arial"/>
                <w:b/>
                <w:sz w:val="20"/>
              </w:rPr>
              <w:t>What will the students be doing?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0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Consider the nature and duration of the activity i.e. need for drinking water, food, rest, appropriate clothing, warmu</w:t>
            </w:r>
            <w:r>
              <w:rPr>
                <w:rFonts w:ascii="Arial" w:eastAsia="Arial" w:hAnsi="Arial" w:cs="Arial"/>
                <w:sz w:val="20"/>
              </w:rPr>
              <w:t>p and warm-down.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0"/>
              </w:rPr>
              <w:t>Instruction in rules and pre-requisite skills is provided.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0"/>
              </w:rPr>
              <w:t>Student skills are developed in a progressive and sequential manner.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1" w:line="25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First aid and emergency medical treatment provisions are appropriate for the type of activity and location e.g.</w:t>
            </w:r>
            <w:r>
              <w:rPr>
                <w:rFonts w:ascii="Arial" w:eastAsia="Arial" w:hAnsi="Arial" w:cs="Arial"/>
                <w:sz w:val="20"/>
              </w:rPr>
              <w:t xml:space="preserve"> first aid kit, first aid trained personnel, Ventolin®, Epipen®, and students' personal prescribed medications as required in health plans are available.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0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Emergency response strategies are in place e.g. communication plans (e.g. mobile phone, walkie talkie)</w:t>
            </w:r>
            <w:r>
              <w:rPr>
                <w:rFonts w:ascii="Arial" w:eastAsia="Arial" w:hAnsi="Arial" w:cs="Arial"/>
                <w:sz w:val="20"/>
              </w:rPr>
              <w:t>, safety induction, evacuation plans.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0"/>
              </w:rPr>
              <w:t>Hair, clothing, footwear and jewellery are worn in a manner that is appropriate and safe for the activity.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212"/>
              <w:ind w:hanging="360"/>
            </w:pPr>
            <w:r>
              <w:rPr>
                <w:rFonts w:ascii="Arial" w:eastAsia="Arial" w:hAnsi="Arial" w:cs="Arial"/>
                <w:sz w:val="20"/>
              </w:rPr>
              <w:t>Personal items, e.g. drink bottles, towels and mouthguards, will not be shared between students.</w:t>
            </w:r>
          </w:p>
          <w:p w:rsidR="00BF6FA5" w:rsidRDefault="00502467">
            <w:pPr>
              <w:spacing w:after="195"/>
            </w:pPr>
            <w:r>
              <w:rPr>
                <w:rFonts w:ascii="Arial" w:eastAsia="Arial" w:hAnsi="Arial" w:cs="Arial"/>
                <w:b/>
                <w:sz w:val="20"/>
              </w:rPr>
              <w:t>What will the students be using?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0"/>
              </w:rPr>
              <w:t>Instruction in safety procedures and safe handling of equipment is provided.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0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Equipment is suitable for the activity, properly maintained, appropriately used and complies with the relevant safety standard.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212"/>
              <w:ind w:hanging="360"/>
            </w:pPr>
            <w:hyperlink r:id="rId13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Relevant department procedures and guidelines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are adhered to for the use of equipment and work processes.</w:t>
            </w:r>
          </w:p>
          <w:p w:rsidR="00BF6FA5" w:rsidRDefault="00502467">
            <w:pPr>
              <w:spacing w:after="195"/>
            </w:pPr>
            <w:r>
              <w:rPr>
                <w:rFonts w:ascii="Arial" w:eastAsia="Arial" w:hAnsi="Arial" w:cs="Arial"/>
                <w:b/>
                <w:sz w:val="20"/>
              </w:rPr>
              <w:t>Who will be leading the activity?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0"/>
              </w:rPr>
              <w:t>A registered teacher has overall responsibili</w:t>
            </w:r>
            <w:r>
              <w:rPr>
                <w:rFonts w:ascii="Arial" w:eastAsia="Arial" w:hAnsi="Arial" w:cs="Arial"/>
                <w:sz w:val="20"/>
              </w:rPr>
              <w:t>ty for the activity.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32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Sufficient adult supervision is in place to manage the activity safely (including in emergency situations). 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0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The activity leader has the competence (knowledge and skills) to plan, induct, instruct and manage the activity safely for stu</w:t>
            </w:r>
            <w:r>
              <w:rPr>
                <w:rFonts w:ascii="Arial" w:eastAsia="Arial" w:hAnsi="Arial" w:cs="Arial"/>
                <w:sz w:val="20"/>
              </w:rPr>
              <w:t>dents and others.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0" w:line="27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There are sufficient adults present with current First Aid qualifications (including CPR) or ready access to qualified first aid personnel.</w:t>
            </w:r>
          </w:p>
          <w:p w:rsidR="00BF6FA5" w:rsidRDefault="00502467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>Blue Card requirements are adhered to for leaders/volunteers.</w:t>
            </w:r>
          </w:p>
        </w:tc>
      </w:tr>
      <w:tr w:rsidR="00BF6FA5">
        <w:trPr>
          <w:trHeight w:val="375"/>
        </w:trPr>
        <w:tc>
          <w:tcPr>
            <w:tcW w:w="10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</w:pPr>
            <w:r>
              <w:rPr>
                <w:rFonts w:ascii="Wingdings 2" w:eastAsia="Wingdings 2" w:hAnsi="Wingdings 2" w:cs="Wingdings 2"/>
                <w:sz w:val="28"/>
              </w:rPr>
              <w:t>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I have incorporated the above factors when planning my risk management strategies for this activity.</w:t>
            </w:r>
          </w:p>
        </w:tc>
      </w:tr>
      <w:tr w:rsidR="00BF6FA5">
        <w:trPr>
          <w:trHeight w:val="526"/>
        </w:trPr>
        <w:tc>
          <w:tcPr>
            <w:tcW w:w="107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F6FA5" w:rsidRDefault="00502467">
            <w:pPr>
              <w:spacing w:after="0"/>
              <w:ind w:left="448" w:hanging="448"/>
            </w:pPr>
            <w:r>
              <w:rPr>
                <w:rFonts w:ascii="Wingdings 2" w:eastAsia="Wingdings 2" w:hAnsi="Wingdings 2" w:cs="Wingdings 2"/>
                <w:sz w:val="28"/>
              </w:rPr>
              <w:lastRenderedPageBreak/>
              <w:t></w:t>
            </w:r>
            <w:r>
              <w:rPr>
                <w:rFonts w:ascii="Wingdings 2" w:eastAsia="Wingdings 2" w:hAnsi="Wingdings 2" w:cs="Wingdings 2"/>
                <w:sz w:val="28"/>
              </w:rPr>
              <w:t></w:t>
            </w:r>
            <w:r>
              <w:rPr>
                <w:rFonts w:ascii="Arial" w:eastAsia="Arial" w:hAnsi="Arial" w:cs="Arial"/>
                <w:sz w:val="20"/>
              </w:rPr>
              <w:t>Additional activity-specific requirements for students with specialised learning needs are provided in the Other Details box below.</w:t>
            </w:r>
          </w:p>
        </w:tc>
      </w:tr>
      <w:tr w:rsidR="00BF6FA5">
        <w:trPr>
          <w:trHeight w:val="338"/>
        </w:trPr>
        <w:tc>
          <w:tcPr>
            <w:tcW w:w="107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6FA5" w:rsidRDefault="00BF6FA5"/>
        </w:tc>
      </w:tr>
    </w:tbl>
    <w:p w:rsidR="00000000" w:rsidRDefault="00502467"/>
    <w:sectPr w:rsidR="000000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6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2467">
      <w:pPr>
        <w:spacing w:after="0" w:line="240" w:lineRule="auto"/>
      </w:pPr>
      <w:r>
        <w:separator/>
      </w:r>
    </w:p>
  </w:endnote>
  <w:endnote w:type="continuationSeparator" w:id="0">
    <w:p w:rsidR="00000000" w:rsidRDefault="0050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A5" w:rsidRDefault="00502467">
    <w:pPr>
      <w:tabs>
        <w:tab w:val="right" w:pos="9858"/>
      </w:tabs>
      <w:spacing w:after="114"/>
      <w:ind w:left="-833" w:right="-8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9975139</wp:posOffset>
              </wp:positionV>
              <wp:extent cx="6840004" cy="6350"/>
              <wp:effectExtent l="0" t="0" r="0" b="0"/>
              <wp:wrapSquare wrapText="bothSides"/>
              <wp:docPr id="7535" name="Group 7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6350"/>
                        <a:chOff x="0" y="0"/>
                        <a:chExt cx="6840004" cy="6350"/>
                      </a:xfrm>
                    </wpg:grpSpPr>
                    <wps:wsp>
                      <wps:cNvPr id="7536" name="Shape 7536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35" style="width:538.583pt;height:0.5pt;position:absolute;mso-position-horizontal-relative:page;mso-position-horizontal:absolute;margin-left:28.346pt;mso-position-vertical-relative:page;margin-top:785.444pt;" coordsize="68400,63">
              <v:shape id="Shape 7536" style="position:absolute;width:68400;height:0;left:0;top:0;" coordsize="6840004,0" path="m0,0l6840004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>Monday, March 25, 2019 10:45:59 AM</w:t>
    </w:r>
    <w:r>
      <w:rPr>
        <w:rFonts w:ascii="Arial" w:eastAsia="Arial" w:hAnsi="Arial" w:cs="Arial"/>
        <w:sz w:val="18"/>
      </w:rPr>
      <w:tab/>
      <w:t>User: lstei48</w:t>
    </w:r>
  </w:p>
  <w:p w:rsidR="00BF6FA5" w:rsidRDefault="00502467">
    <w:pPr>
      <w:tabs>
        <w:tab w:val="right" w:pos="9857"/>
      </w:tabs>
      <w:spacing w:after="0"/>
      <w:ind w:left="-873" w:right="-832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360007</wp:posOffset>
          </wp:positionH>
          <wp:positionV relativeFrom="page">
            <wp:posOffset>10151961</wp:posOffset>
          </wp:positionV>
          <wp:extent cx="617296" cy="180048"/>
          <wp:effectExtent l="0" t="0" r="0" b="0"/>
          <wp:wrapSquare wrapText="bothSides"/>
          <wp:docPr id="227" name="Picture 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96" cy="180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2"/>
      </w:rPr>
      <w:t xml:space="preserve"> Ref-CaraActivity-VR2.1.0-2004-503850</w:t>
    </w:r>
    <w:r>
      <w:rPr>
        <w:rFonts w:ascii="Arial" w:eastAsia="Arial" w:hAnsi="Arial" w:cs="Arial"/>
        <w:sz w:val="12"/>
      </w:rPr>
      <w:tab/>
    </w:r>
    <w:r>
      <w:rPr>
        <w:rFonts w:ascii="Arial" w:eastAsia="Arial" w:hAnsi="Arial" w:cs="Arial"/>
        <w:sz w:val="18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4</w:t>
    </w:r>
    <w:r>
      <w:rPr>
        <w:rFonts w:ascii="Arial" w:eastAsia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A5" w:rsidRDefault="00502467">
    <w:pPr>
      <w:tabs>
        <w:tab w:val="right" w:pos="9858"/>
      </w:tabs>
      <w:spacing w:after="114"/>
      <w:ind w:left="-833" w:right="-8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9975139</wp:posOffset>
              </wp:positionV>
              <wp:extent cx="6840004" cy="6350"/>
              <wp:effectExtent l="0" t="0" r="0" b="0"/>
              <wp:wrapSquare wrapText="bothSides"/>
              <wp:docPr id="7497" name="Group 74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6350"/>
                        <a:chOff x="0" y="0"/>
                        <a:chExt cx="6840004" cy="6350"/>
                      </a:xfrm>
                    </wpg:grpSpPr>
                    <wps:wsp>
                      <wps:cNvPr id="7498" name="Shape 7498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7" style="width:538.583pt;height:0.5pt;position:absolute;mso-position-horizontal-relative:page;mso-position-horizontal:absolute;margin-left:28.346pt;mso-position-vertical-relative:page;margin-top:785.444pt;" coordsize="68400,63">
              <v:shape id="Shape 7498" style="position:absolute;width:68400;height:0;left:0;top:0;" coordsize="6840004,0" path="m0,0l6840004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>Monday, March 25, 2019 10:45:59 AM</w:t>
    </w:r>
    <w:r>
      <w:rPr>
        <w:rFonts w:ascii="Arial" w:eastAsia="Arial" w:hAnsi="Arial" w:cs="Arial"/>
        <w:sz w:val="18"/>
      </w:rPr>
      <w:tab/>
      <w:t>User: lstei48</w:t>
    </w:r>
  </w:p>
  <w:p w:rsidR="00BF6FA5" w:rsidRDefault="00502467">
    <w:pPr>
      <w:tabs>
        <w:tab w:val="right" w:pos="9857"/>
      </w:tabs>
      <w:spacing w:after="0"/>
      <w:ind w:left="-873" w:right="-832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360007</wp:posOffset>
          </wp:positionH>
          <wp:positionV relativeFrom="page">
            <wp:posOffset>10151961</wp:posOffset>
          </wp:positionV>
          <wp:extent cx="617296" cy="18004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96" cy="180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2"/>
      </w:rPr>
      <w:t xml:space="preserve"> Ref-CaraAct</w:t>
    </w:r>
    <w:r>
      <w:rPr>
        <w:rFonts w:ascii="Arial" w:eastAsia="Arial" w:hAnsi="Arial" w:cs="Arial"/>
        <w:sz w:val="12"/>
      </w:rPr>
      <w:t>ivity-VR2.1.0-2004-503850</w:t>
    </w:r>
    <w:r>
      <w:rPr>
        <w:rFonts w:ascii="Arial" w:eastAsia="Arial" w:hAnsi="Arial" w:cs="Arial"/>
        <w:sz w:val="12"/>
      </w:rPr>
      <w:tab/>
    </w:r>
    <w:r>
      <w:rPr>
        <w:rFonts w:ascii="Arial" w:eastAsia="Arial" w:hAnsi="Arial" w:cs="Arial"/>
        <w:sz w:val="18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noProof/>
        <w:sz w:val="18"/>
      </w:rPr>
      <w:t>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noProof/>
        <w:sz w:val="18"/>
      </w:rPr>
      <w:t>5</w:t>
    </w:r>
    <w:r>
      <w:rPr>
        <w:rFonts w:ascii="Arial" w:eastAsia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A5" w:rsidRDefault="00502467">
    <w:pPr>
      <w:tabs>
        <w:tab w:val="right" w:pos="9858"/>
      </w:tabs>
      <w:spacing w:after="114"/>
      <w:ind w:left="-833" w:right="-83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359994</wp:posOffset>
              </wp:positionH>
              <wp:positionV relativeFrom="page">
                <wp:posOffset>9975139</wp:posOffset>
              </wp:positionV>
              <wp:extent cx="6840004" cy="6350"/>
              <wp:effectExtent l="0" t="0" r="0" b="0"/>
              <wp:wrapSquare wrapText="bothSides"/>
              <wp:docPr id="7459" name="Group 7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6350"/>
                        <a:chOff x="0" y="0"/>
                        <a:chExt cx="6840004" cy="6350"/>
                      </a:xfrm>
                    </wpg:grpSpPr>
                    <wps:wsp>
                      <wps:cNvPr id="7460" name="Shape 7460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59" style="width:538.583pt;height:0.5pt;position:absolute;mso-position-horizontal-relative:page;mso-position-horizontal:absolute;margin-left:28.346pt;mso-position-vertical-relative:page;margin-top:785.444pt;" coordsize="68400,63">
              <v:shape id="Shape 7460" style="position:absolute;width:68400;height:0;left:0;top:0;" coordsize="6840004,0" path="m0,0l6840004,0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8"/>
      </w:rPr>
      <w:t>Monday, March 25, 2019 10:45:59 AM</w:t>
    </w:r>
    <w:r>
      <w:rPr>
        <w:rFonts w:ascii="Arial" w:eastAsia="Arial" w:hAnsi="Arial" w:cs="Arial"/>
        <w:sz w:val="18"/>
      </w:rPr>
      <w:tab/>
      <w:t>User: lstei48</w:t>
    </w:r>
  </w:p>
  <w:p w:rsidR="00BF6FA5" w:rsidRDefault="00502467">
    <w:pPr>
      <w:tabs>
        <w:tab w:val="right" w:pos="9857"/>
      </w:tabs>
      <w:spacing w:after="0"/>
      <w:ind w:left="-873" w:right="-832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360007</wp:posOffset>
          </wp:positionH>
          <wp:positionV relativeFrom="page">
            <wp:posOffset>10151961</wp:posOffset>
          </wp:positionV>
          <wp:extent cx="617296" cy="18004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96" cy="180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2"/>
      </w:rPr>
      <w:t xml:space="preserve"> Ref-CaraActivity-VR2.1.0-2004-503850</w:t>
    </w:r>
    <w:r>
      <w:rPr>
        <w:rFonts w:ascii="Arial" w:eastAsia="Arial" w:hAnsi="Arial" w:cs="Arial"/>
        <w:sz w:val="12"/>
      </w:rPr>
      <w:tab/>
    </w:r>
    <w:r>
      <w:rPr>
        <w:rFonts w:ascii="Arial" w:eastAsia="Arial" w:hAnsi="Arial" w:cs="Arial"/>
        <w:sz w:val="18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4</w:t>
    </w:r>
    <w:r>
      <w:rPr>
        <w:rFonts w:ascii="Arial" w:eastAsia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2467">
      <w:pPr>
        <w:spacing w:after="0" w:line="240" w:lineRule="auto"/>
      </w:pPr>
      <w:r>
        <w:separator/>
      </w:r>
    </w:p>
  </w:footnote>
  <w:footnote w:type="continuationSeparator" w:id="0">
    <w:p w:rsidR="00000000" w:rsidRDefault="0050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A5" w:rsidRDefault="00502467">
    <w:pPr>
      <w:spacing w:after="39"/>
      <w:ind w:left="-8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360007</wp:posOffset>
              </wp:positionH>
              <wp:positionV relativeFrom="page">
                <wp:posOffset>965950</wp:posOffset>
              </wp:positionV>
              <wp:extent cx="6840004" cy="12700"/>
              <wp:effectExtent l="0" t="0" r="0" b="0"/>
              <wp:wrapSquare wrapText="bothSides"/>
              <wp:docPr id="7521" name="Group 75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7522" name="Shape 7522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1" style="width:538.583pt;height:1pt;position:absolute;mso-position-horizontal-relative:page;mso-position-horizontal:absolute;margin-left:28.347pt;mso-position-vertical-relative:page;margin-top:76.059pt;" coordsize="68400,127">
              <v:shape id="Shape 7522" style="position:absolute;width:68400;height:0;left:0;top:0;" coordsize="6840004,0" path="m0,0l684000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32"/>
      </w:rPr>
      <w:t>Bundaberg State High School</w:t>
    </w:r>
  </w:p>
  <w:p w:rsidR="00BF6FA5" w:rsidRDefault="00502467">
    <w:pPr>
      <w:spacing w:after="0"/>
      <w:ind w:left="-833"/>
    </w:pPr>
    <w:r>
      <w:rPr>
        <w:rFonts w:ascii="Arial" w:eastAsia="Arial" w:hAnsi="Arial" w:cs="Arial"/>
        <w:b/>
        <w:sz w:val="32"/>
      </w:rPr>
      <w:t>Curriculum Activity 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A5" w:rsidRDefault="00502467">
    <w:pPr>
      <w:spacing w:after="39"/>
      <w:ind w:left="-8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360007</wp:posOffset>
              </wp:positionH>
              <wp:positionV relativeFrom="page">
                <wp:posOffset>965950</wp:posOffset>
              </wp:positionV>
              <wp:extent cx="6840004" cy="12700"/>
              <wp:effectExtent l="0" t="0" r="0" b="0"/>
              <wp:wrapSquare wrapText="bothSides"/>
              <wp:docPr id="7483" name="Group 74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7484" name="Shape 7484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83" style="width:538.583pt;height:1pt;position:absolute;mso-position-horizontal-relative:page;mso-position-horizontal:absolute;margin-left:28.347pt;mso-position-vertical-relative:page;margin-top:76.059pt;" coordsize="68400,127">
              <v:shape id="Shape 7484" style="position:absolute;width:68400;height:0;left:0;top:0;" coordsize="6840004,0" path="m0,0l684000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32"/>
      </w:rPr>
      <w:t>Bundaberg State High School</w:t>
    </w:r>
  </w:p>
  <w:p w:rsidR="00BF6FA5" w:rsidRDefault="00502467">
    <w:pPr>
      <w:spacing w:after="0"/>
      <w:ind w:left="-833"/>
    </w:pPr>
    <w:r>
      <w:rPr>
        <w:rFonts w:ascii="Arial" w:eastAsia="Arial" w:hAnsi="Arial" w:cs="Arial"/>
        <w:b/>
        <w:sz w:val="32"/>
      </w:rPr>
      <w:t>Curriculum Activity Risk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A5" w:rsidRDefault="00502467">
    <w:pPr>
      <w:spacing w:after="39"/>
      <w:ind w:left="-8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360007</wp:posOffset>
              </wp:positionH>
              <wp:positionV relativeFrom="page">
                <wp:posOffset>965950</wp:posOffset>
              </wp:positionV>
              <wp:extent cx="6840004" cy="12700"/>
              <wp:effectExtent l="0" t="0" r="0" b="0"/>
              <wp:wrapSquare wrapText="bothSides"/>
              <wp:docPr id="7445" name="Group 7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7446" name="Shape 7446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45" style="width:538.583pt;height:1pt;position:absolute;mso-position-horizontal-relative:page;mso-position-horizontal:absolute;margin-left:28.347pt;mso-position-vertical-relative:page;margin-top:76.059pt;" coordsize="68400,127">
              <v:shape id="Shape 7446" style="position:absolute;width:68400;height:0;left:0;top:0;" coordsize="6840004,0" path="m0,0l6840004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32"/>
      </w:rPr>
      <w:t>Bundaberg State High School</w:t>
    </w:r>
  </w:p>
  <w:p w:rsidR="00BF6FA5" w:rsidRDefault="00502467">
    <w:pPr>
      <w:spacing w:after="0"/>
      <w:ind w:left="-833"/>
    </w:pPr>
    <w:r>
      <w:rPr>
        <w:rFonts w:ascii="Arial" w:eastAsia="Arial" w:hAnsi="Arial" w:cs="Arial"/>
        <w:b/>
        <w:sz w:val="32"/>
      </w:rPr>
      <w:t>Curriculum Activity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3DB"/>
    <w:multiLevelType w:val="hybridMultilevel"/>
    <w:tmpl w:val="5AD8A678"/>
    <w:lvl w:ilvl="0" w:tplc="B5A89B88">
      <w:start w:val="1"/>
      <w:numFmt w:val="bullet"/>
      <w:lvlText w:val="•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E49F88">
      <w:start w:val="1"/>
      <w:numFmt w:val="bullet"/>
      <w:lvlText w:val="o"/>
      <w:lvlJc w:val="left"/>
      <w:pPr>
        <w:ind w:left="1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2294D0">
      <w:start w:val="1"/>
      <w:numFmt w:val="bullet"/>
      <w:lvlText w:val="▪"/>
      <w:lvlJc w:val="left"/>
      <w:pPr>
        <w:ind w:left="2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883A72">
      <w:start w:val="1"/>
      <w:numFmt w:val="bullet"/>
      <w:lvlText w:val="•"/>
      <w:lvlJc w:val="left"/>
      <w:pPr>
        <w:ind w:left="2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22CFE">
      <w:start w:val="1"/>
      <w:numFmt w:val="bullet"/>
      <w:lvlText w:val="o"/>
      <w:lvlJc w:val="left"/>
      <w:pPr>
        <w:ind w:left="3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82EBB2">
      <w:start w:val="1"/>
      <w:numFmt w:val="bullet"/>
      <w:lvlText w:val="▪"/>
      <w:lvlJc w:val="left"/>
      <w:pPr>
        <w:ind w:left="4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ACF8C">
      <w:start w:val="1"/>
      <w:numFmt w:val="bullet"/>
      <w:lvlText w:val="•"/>
      <w:lvlJc w:val="left"/>
      <w:pPr>
        <w:ind w:left="4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4870">
      <w:start w:val="1"/>
      <w:numFmt w:val="bullet"/>
      <w:lvlText w:val="o"/>
      <w:lvlJc w:val="left"/>
      <w:pPr>
        <w:ind w:left="5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C8396">
      <w:start w:val="1"/>
      <w:numFmt w:val="bullet"/>
      <w:lvlText w:val="▪"/>
      <w:lvlJc w:val="left"/>
      <w:pPr>
        <w:ind w:left="6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11302"/>
    <w:multiLevelType w:val="hybridMultilevel"/>
    <w:tmpl w:val="AE14BDBA"/>
    <w:lvl w:ilvl="0" w:tplc="2A74269E">
      <w:start w:val="1"/>
      <w:numFmt w:val="bullet"/>
      <w:lvlText w:val="•"/>
      <w:lvlJc w:val="left"/>
      <w:pPr>
        <w:ind w:left="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A7308">
      <w:start w:val="1"/>
      <w:numFmt w:val="bullet"/>
      <w:lvlText w:val="o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228DA">
      <w:start w:val="1"/>
      <w:numFmt w:val="bullet"/>
      <w:lvlText w:val="▪"/>
      <w:lvlJc w:val="left"/>
      <w:pPr>
        <w:ind w:left="2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B40D84">
      <w:start w:val="1"/>
      <w:numFmt w:val="bullet"/>
      <w:lvlText w:val="•"/>
      <w:lvlJc w:val="left"/>
      <w:pPr>
        <w:ind w:left="2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4201A">
      <w:start w:val="1"/>
      <w:numFmt w:val="bullet"/>
      <w:lvlText w:val="o"/>
      <w:lvlJc w:val="left"/>
      <w:pPr>
        <w:ind w:left="3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6881F4">
      <w:start w:val="1"/>
      <w:numFmt w:val="bullet"/>
      <w:lvlText w:val="▪"/>
      <w:lvlJc w:val="left"/>
      <w:pPr>
        <w:ind w:left="4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8EF0C">
      <w:start w:val="1"/>
      <w:numFmt w:val="bullet"/>
      <w:lvlText w:val="•"/>
      <w:lvlJc w:val="left"/>
      <w:pPr>
        <w:ind w:left="4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4E2AE">
      <w:start w:val="1"/>
      <w:numFmt w:val="bullet"/>
      <w:lvlText w:val="o"/>
      <w:lvlJc w:val="left"/>
      <w:pPr>
        <w:ind w:left="5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23F28">
      <w:start w:val="1"/>
      <w:numFmt w:val="bullet"/>
      <w:lvlText w:val="▪"/>
      <w:lvlJc w:val="left"/>
      <w:pPr>
        <w:ind w:left="63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B82369"/>
    <w:multiLevelType w:val="hybridMultilevel"/>
    <w:tmpl w:val="5A8C364C"/>
    <w:lvl w:ilvl="0" w:tplc="8BAA7E0A">
      <w:start w:val="1"/>
      <w:numFmt w:val="bullet"/>
      <w:lvlText w:val="•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F8BB9E">
      <w:start w:val="1"/>
      <w:numFmt w:val="bullet"/>
      <w:lvlText w:val="o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AF190">
      <w:start w:val="1"/>
      <w:numFmt w:val="bullet"/>
      <w:lvlText w:val="▪"/>
      <w:lvlJc w:val="left"/>
      <w:pPr>
        <w:ind w:left="2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AE540">
      <w:start w:val="1"/>
      <w:numFmt w:val="bullet"/>
      <w:lvlText w:val="•"/>
      <w:lvlJc w:val="left"/>
      <w:pPr>
        <w:ind w:left="2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6071C">
      <w:start w:val="1"/>
      <w:numFmt w:val="bullet"/>
      <w:lvlText w:val="o"/>
      <w:lvlJc w:val="left"/>
      <w:pPr>
        <w:ind w:left="3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0810A0">
      <w:start w:val="1"/>
      <w:numFmt w:val="bullet"/>
      <w:lvlText w:val="▪"/>
      <w:lvlJc w:val="left"/>
      <w:pPr>
        <w:ind w:left="4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06B2E0">
      <w:start w:val="1"/>
      <w:numFmt w:val="bullet"/>
      <w:lvlText w:val="•"/>
      <w:lvlJc w:val="left"/>
      <w:pPr>
        <w:ind w:left="4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08D62A">
      <w:start w:val="1"/>
      <w:numFmt w:val="bullet"/>
      <w:lvlText w:val="o"/>
      <w:lvlJc w:val="left"/>
      <w:pPr>
        <w:ind w:left="5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E4790E">
      <w:start w:val="1"/>
      <w:numFmt w:val="bullet"/>
      <w:lvlText w:val="▪"/>
      <w:lvlJc w:val="left"/>
      <w:pPr>
        <w:ind w:left="63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72840"/>
    <w:multiLevelType w:val="hybridMultilevel"/>
    <w:tmpl w:val="B498D360"/>
    <w:lvl w:ilvl="0" w:tplc="99B08456">
      <w:start w:val="1"/>
      <w:numFmt w:val="bullet"/>
      <w:lvlText w:val="•"/>
      <w:lvlJc w:val="left"/>
      <w:pPr>
        <w:ind w:left="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64DA6">
      <w:start w:val="1"/>
      <w:numFmt w:val="bullet"/>
      <w:lvlText w:val="o"/>
      <w:lvlJc w:val="left"/>
      <w:pPr>
        <w:ind w:left="13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56F486">
      <w:start w:val="1"/>
      <w:numFmt w:val="bullet"/>
      <w:lvlText w:val="▪"/>
      <w:lvlJc w:val="left"/>
      <w:pPr>
        <w:ind w:left="20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81FBC">
      <w:start w:val="1"/>
      <w:numFmt w:val="bullet"/>
      <w:lvlText w:val="•"/>
      <w:lvlJc w:val="left"/>
      <w:pPr>
        <w:ind w:left="27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A06B86">
      <w:start w:val="1"/>
      <w:numFmt w:val="bullet"/>
      <w:lvlText w:val="o"/>
      <w:lvlJc w:val="left"/>
      <w:pPr>
        <w:ind w:left="35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8D2E4">
      <w:start w:val="1"/>
      <w:numFmt w:val="bullet"/>
      <w:lvlText w:val="▪"/>
      <w:lvlJc w:val="left"/>
      <w:pPr>
        <w:ind w:left="42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A02C4">
      <w:start w:val="1"/>
      <w:numFmt w:val="bullet"/>
      <w:lvlText w:val="•"/>
      <w:lvlJc w:val="left"/>
      <w:pPr>
        <w:ind w:left="49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24CBE">
      <w:start w:val="1"/>
      <w:numFmt w:val="bullet"/>
      <w:lvlText w:val="o"/>
      <w:lvlJc w:val="left"/>
      <w:pPr>
        <w:ind w:left="56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AA474">
      <w:start w:val="1"/>
      <w:numFmt w:val="bullet"/>
      <w:lvlText w:val="▪"/>
      <w:lvlJc w:val="left"/>
      <w:pPr>
        <w:ind w:left="63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A5"/>
    <w:rsid w:val="00502467"/>
    <w:rsid w:val="00B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7768"/>
  <w15:docId w15:val="{55EA2585-7FBB-43F7-8C7E-B5C31D51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leyballaustralia.org.au/page/coach-education-development-program" TargetMode="External"/><Relationship Id="rId13" Type="http://schemas.openxmlformats.org/officeDocument/2006/relationships/hyperlink" Target="http://education.qld.gov.au/curriculum/carmg/activity-guidelines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qld.gov.au/curriculum/school-curriculum/CARA/activity-guidelines" TargetMode="Externa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qld.gov.au/initiatives-and-strategies/health-and-wellbeing/workplaces/safety/aler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qva.org.au/index.php?id=hom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qld.gov.au/recreation/sports/volunteers-coaches/courses/informatio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1205</Words>
  <Characters>6870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CaraActivity</vt:lpstr>
    </vt:vector>
  </TitlesOfParts>
  <Company>Queensland Government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CaraActivity</dc:title>
  <dc:subject/>
  <dc:creator>HALFORD, Nicole</dc:creator>
  <cp:keywords/>
  <cp:lastModifiedBy>HALFORD, Nicole</cp:lastModifiedBy>
  <cp:revision>2</cp:revision>
  <dcterms:created xsi:type="dcterms:W3CDTF">2019-03-27T01:25:00Z</dcterms:created>
  <dcterms:modified xsi:type="dcterms:W3CDTF">2019-03-27T01:25:00Z</dcterms:modified>
</cp:coreProperties>
</file>